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AD605" w14:textId="77777777" w:rsidR="00232F53" w:rsidRPr="00232F53" w:rsidRDefault="00497DE7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SST 07 - </w:t>
      </w:r>
      <w:r w:rsidR="00232F53"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WARSTWY WYRÓWNAWCZE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="00232F53"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KOD CPV 45261210-9</w:t>
      </w:r>
    </w:p>
    <w:p w14:paraId="7FA14CDD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1.0 WSTĘP.</w:t>
      </w:r>
    </w:p>
    <w:p w14:paraId="6A0EAC53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1.1. Przedmiot Specyfikacji Technicznej.</w:t>
      </w:r>
    </w:p>
    <w:p w14:paraId="4FF5D7AC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Przedmiotem niniejszej Specyfikacji Technicznej są wymagania dotyczące wykonania i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odbioru warstw wyrównawczych pod posadzki</w:t>
      </w:r>
    </w:p>
    <w:p w14:paraId="255FD46D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1.2. Zakres stosowania Specyfikacji Technicznej.</w:t>
      </w:r>
    </w:p>
    <w:p w14:paraId="6865257F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Specyfikacja Techniczna jest stosowana jako dokument przetargowy i kontraktowy przy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zlecaniu i realizacji robót.</w:t>
      </w:r>
    </w:p>
    <w:p w14:paraId="0B5C796B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1.3. Zakres robót objętych Specyfikacją Techniczną.</w:t>
      </w:r>
    </w:p>
    <w:p w14:paraId="75AAB025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Roboty, których dotyczy Specyfikacja Techniczna, obejmują wszystkie czynności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umożliwiające i mające na celu wykonanie podkładów cementowych wyrównujących oraz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wylewek samopoziomujących.</w:t>
      </w:r>
    </w:p>
    <w:p w14:paraId="30347713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1.4. Określenia podstawowe.</w:t>
      </w:r>
    </w:p>
    <w:p w14:paraId="67C8E2A6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Określenia podane w niniejszej ST są zgodne z obowiązującymi odpowiednimi normami</w:t>
      </w:r>
    </w:p>
    <w:p w14:paraId="20ABF6D6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Zaczyn cementowy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- mieszanina cementu i wody.</w:t>
      </w:r>
    </w:p>
    <w:p w14:paraId="0029453D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Zaprawa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- mieszanina cementu, wody, składników mineralnych i ewentualnych dodatków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przechodzących przez sito kontrolne o boku oczka kwadratowego 2mm.</w:t>
      </w:r>
    </w:p>
    <w:p w14:paraId="4A51F24D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Zaprawa samopoziomująca</w:t>
      </w:r>
    </w:p>
    <w:p w14:paraId="44C95635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Zaprawa samopoziomująca, szybkowiążąca anhydrytowym, przeznaczonym do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maszynowego lub ręcznego wykonywania podkładów podłogowych pod terakotę, parkiet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i różnego rodzaju wykładziny.</w:t>
      </w:r>
    </w:p>
    <w:p w14:paraId="7AFCF622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1.5. Ogólne wymagania dotyczące robót.</w:t>
      </w:r>
    </w:p>
    <w:p w14:paraId="557B701C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Wykonawca robót jest odpowiedzialny za jakość ich wykonania oraz za zgodność z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Dokumentacją Projektową ST i poleceniami Inspektora</w:t>
      </w:r>
    </w:p>
    <w:p w14:paraId="7B88C274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2.0 MATERIAŁY.</w:t>
      </w:r>
    </w:p>
    <w:p w14:paraId="4898C5A4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2.1. Cement</w:t>
      </w:r>
    </w:p>
    <w:p w14:paraId="27E2F4D4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2.1.1. Rodzaje cementu.</w:t>
      </w:r>
    </w:p>
    <w:p w14:paraId="48D73119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Cement pochodzący z każdej dostawy musi spełniać wymagania zawarte w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PN-B-197011997. Dopuszczalne jest stosowanie cementu marki ,,325"</w:t>
      </w:r>
    </w:p>
    <w:p w14:paraId="02835BE2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2.1.2. Świadectwo jakości cementu.</w:t>
      </w:r>
    </w:p>
    <w:p w14:paraId="0468B1BD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Każda partia dostarczonego cementu musi posiadać świadectwo jakości (atest) wraz z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wynikami badań. Zakazuje się pobierania cementu ze stacji przesypowych (silosów) jeśli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nie ma pewności, że dostarczany jest tam tylko jeden rodzaj cementu z tej samej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cementowni.</w:t>
      </w:r>
    </w:p>
    <w:p w14:paraId="3F7761D3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2.1.3. Badania podstawowych parametrów cementu.</w:t>
      </w:r>
    </w:p>
    <w:p w14:paraId="61F0B508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Cement pochodzący z każdej dostawy musi być poddany badaniom wg normy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PN-88/B-04300, a wyniki ocenione wg normy PN-B-19701: 1997. Zakres badań cementu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 xml:space="preserve">pochodzącego z dostawy, dla której jest atest z wynikami badań cementowni 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>–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 xml:space="preserve"> można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wykonać tylko w zakresie badań podstawowych.</w:t>
      </w:r>
    </w:p>
    <w:p w14:paraId="6A5DD935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2.1.4. Magazynowanie i okres składowania.</w:t>
      </w:r>
    </w:p>
    <w:p w14:paraId="2D62B646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Dla cementy pakowanego (workowanego):</w:t>
      </w:r>
    </w:p>
    <w:p w14:paraId="3EF7641C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- składy otwarte (wydzielone miejsca zadaszone na otwartym terenie,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zabezpieczone z boków przed opadami) lub magazyny zamknięte (budynki lub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pomieszczenia o szczelnym dachu i ścianach).</w:t>
      </w:r>
    </w:p>
    <w:p w14:paraId="33C8675B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Dla cementu luzem magazyny specjalne (zbiorniki stalowe, żelbetowe lub betonowe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przeznaczone do pneumatycznego załadowania i wyładowania cementu luzem,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zaopatrzone w urządzenia do przeprowadzania kontroli objętości cementu znajdującego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się w zbiorniku lub otwory do przeprowadzania kontroli objętości cementu, włazy do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oczyszczenia oraz klamry na wewnętrznych ścianach).</w:t>
      </w:r>
    </w:p>
    <w:p w14:paraId="2A31D817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Podłoża składów otwartych powinny być twarde i suche, odpowiednio pochylone,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zabezpieczające cement przed ściekami wody deszczowej i zanieczyszczeń. Podłogi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magazynów zamkniętych powinny być suche i czyste, zabezpieczające cement przed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zawilgoceniem i zanieczyszczeniem. Dopuszczalny okres przechowywania cementu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zależny jest od miejsca przechowywania:</w:t>
      </w:r>
    </w:p>
    <w:p w14:paraId="553BAF83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10 dni, w przypadku przechowywania go w zadaszonych składach otwartych, po upływie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trwałości podanym przez wytwórcę, w przypadku przechowywania w składach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zamkniętych. Każda partia cementu posiadająca oddzielne świadectwo jakości powinna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być przechowywana osobno w sposób umożliwiający jej łatwe rozróżnienie.</w:t>
      </w:r>
    </w:p>
    <w:p w14:paraId="6DC92787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2.2. Woda</w:t>
      </w:r>
    </w:p>
    <w:p w14:paraId="58FE584F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Woda zarobowa do zaprawy powinna odpowiadać wymaganiom normy PN-88/B-32250.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Wodę przewiduje się czerpać z wodociągów miejskich (woda ta nie wymaga badania)</w:t>
      </w:r>
    </w:p>
    <w:p w14:paraId="308EA8B0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2.3. Zaprawy cementowe.</w:t>
      </w:r>
    </w:p>
    <w:p w14:paraId="6BEA478B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Na budowie należy stosować klasy zapraw określone w Dokumentacji Projektowej.</w:t>
      </w:r>
    </w:p>
    <w:p w14:paraId="15C79702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2.4. Zaprawa samopoziomująca</w:t>
      </w:r>
    </w:p>
    <w:p w14:paraId="24F8F6C7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Zaprawa samopoziomująca, szybkowiążąca anhydrytowym, przeznaczonym do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maszynowego lub ręcznego wykonywania podkładów podłogowych pod terakotę, parkiet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i różnego rodzaju wykładziny. Nadaje się do stosowania we wszystkich suchych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pomieszczeniach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budynków mieszkalnych, użyteczności publicznej oraz innych, o ile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jego parametry techniczne spełniają wymagania eksploatacyjne i wytrzymałościowe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właściwe dla tych pomieszczeń. Zaprawa może być użyta do wykonania podkładów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wewnątrz budynków.</w:t>
      </w:r>
    </w:p>
    <w:p w14:paraId="7E1FFBF8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3.0 SPRZĘT.</w:t>
      </w:r>
    </w:p>
    <w:p w14:paraId="2C124478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Roboty mogą być wykonywane mechanicznie bądź ręcznie. Roboty można wykonywać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przy użyciu dowolnego sprzętu zaakceptowanego przez Inspektora. Dozatory muszą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mieć aktualne świadectwo legalizacji. Mieszanie składników winno się odbywać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wyłącznie w betoniarkach o wymuszonym działaniu (zabrania się stosowania mieszarek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spellStart"/>
      <w:r w:rsidRPr="00232F53">
        <w:rPr>
          <w:rFonts w:ascii="Times New Roman" w:hAnsi="Times New Roman" w:cs="Times New Roman"/>
          <w:color w:val="000000"/>
          <w:sz w:val="18"/>
          <w:szCs w:val="18"/>
        </w:rPr>
        <w:t>wolnospadowych</w:t>
      </w:r>
      <w:proofErr w:type="spellEnd"/>
      <w:r w:rsidRPr="00232F53">
        <w:rPr>
          <w:rFonts w:ascii="Times New Roman" w:hAnsi="Times New Roman" w:cs="Times New Roman"/>
          <w:color w:val="000000"/>
          <w:sz w:val="18"/>
          <w:szCs w:val="18"/>
        </w:rPr>
        <w:t>). Do podawania mieszanek należy stosować pojemniki lub pompy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przystosowane do podawania mieszanek plastycznych.</w:t>
      </w:r>
    </w:p>
    <w:p w14:paraId="53D96E4F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4.0 TRANSPORT.</w:t>
      </w:r>
    </w:p>
    <w:p w14:paraId="5769A7D0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4.1.Transport, składowanie, podawanie i układanie mieszanki betonowej.</w:t>
      </w:r>
    </w:p>
    <w:p w14:paraId="0B57AB9C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Materiały i sprzęt mogą być przewożone dowolnymi środkami transportu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zaakceptowanymi przez Inspektora, w sposób zabezpieczający je przed uszkodzeniem.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Środki do transportu zapraw:</w:t>
      </w:r>
    </w:p>
    <w:p w14:paraId="3D5F395E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Mieszanki zapraw mogą być transportowane mieszalnikami samochodowymi (tzw.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"gruszkami"). Ilość "gruszek" należy dobrać tak, aby zapewnić wymaganą szybkość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betonowania z uwzględnieniem odległości dowozu, czasu twardnienia betonu oraz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koniecznej rezerwy w przypadku awarii samochodu.</w:t>
      </w:r>
    </w:p>
    <w:p w14:paraId="09289FBF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4.2. Czas transportu i wbudowania:</w:t>
      </w:r>
    </w:p>
    <w:p w14:paraId="768518A2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Czas transportu i wbudowania mieszanki nie powinien być dłuższy niż:</w:t>
      </w:r>
    </w:p>
    <w:p w14:paraId="6B0EEC2B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90 min. przy temperaturze +15°C</w:t>
      </w:r>
    </w:p>
    <w:p w14:paraId="36872E6C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70 min. - przy temperaturze +20°C</w:t>
      </w:r>
    </w:p>
    <w:p w14:paraId="7B0CC85C" w14:textId="693784DD" w:rsidR="00232F53" w:rsidRPr="00232F53" w:rsidRDefault="00232F53" w:rsidP="00BC79A6">
      <w:pPr>
        <w:tabs>
          <w:tab w:val="center" w:pos="4536"/>
        </w:tabs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30 min - przy temperaturze +30°C.</w:t>
      </w:r>
      <w:r w:rsidR="00BC79A6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14:paraId="346F7D8A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4.3 Transport i składowanie materiałów sypkich</w:t>
      </w:r>
    </w:p>
    <w:p w14:paraId="342FE463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lastRenderedPageBreak/>
        <w:t>Piasek oraz inne materiały sypkie należy transportować samochodami skrzyniowymi lub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samowyładowczymi. Materiały sypkie w czasie transportu należy zabezpieczyć przed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wysypywaniem się na drogi oraz przed warunkami atmosferycznymi. Składowisko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materiałów sypkich takich jak piasek czy żwir należy ogrodzić by nie dopuścić do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rozmywania w czasie opadów deszczu. Cement i wapno workowane należy składować w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pomieszczeniach zamkniętych i suchych na podkładach panelowych z desek w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warstwach max 10.</w:t>
      </w:r>
    </w:p>
    <w:p w14:paraId="2C5967DB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5.0 WYKONANIE ROBÓT.</w:t>
      </w:r>
    </w:p>
    <w:p w14:paraId="7CF217BE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5.1. Wstęp</w:t>
      </w:r>
    </w:p>
    <w:p w14:paraId="6E85D665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Wykonawca przedstawi Inspektorowi do akceptacji projekt organizacji i harmonogram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robót uwzględniający wszystkie warunki. w jakich będą wykonywane roboty.</w:t>
      </w:r>
    </w:p>
    <w:p w14:paraId="1F7EE2FE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5.2. Zalecenia ogólne.</w:t>
      </w:r>
    </w:p>
    <w:p w14:paraId="61D6FF51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Rozpoczęcie robót może nastąpić w oparciu o szczegółowy program i dokumentację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technologiczną (zaakceptowaną przez Inspektora) obejmującą:</w:t>
      </w:r>
    </w:p>
    <w:p w14:paraId="100DA67D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- wybór składników zapraw,</w:t>
      </w:r>
    </w:p>
    <w:p w14:paraId="76B8B7A3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- opracowanie receptur laboratoryjnych i roboczych,</w:t>
      </w:r>
    </w:p>
    <w:p w14:paraId="2769EB31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- sposób wytwarzania mieszanki zapraw,</w:t>
      </w:r>
    </w:p>
    <w:p w14:paraId="25707DC3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- sposób transportu mieszanki zapraw.</w:t>
      </w:r>
    </w:p>
    <w:p w14:paraId="679555D7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- kolejność i sposób betonowania,</w:t>
      </w:r>
    </w:p>
    <w:p w14:paraId="670AF531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- sposób pielęgnacji zaprawy,</w:t>
      </w:r>
    </w:p>
    <w:p w14:paraId="2A6D3BB5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Przed przystąpieniem do wylewek, powinna być stwierdzona przez Inspektora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prawidłowość wykonania wszystkich robót poprzedzających betonowanie. Roboty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betoniarskie muszą być wykonane zgodnie z wymaganiami norm: PN-88/B-O6250 i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PN-65/B-O6251</w:t>
      </w:r>
    </w:p>
    <w:p w14:paraId="3B985F9A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5.3. Wytwarzanie mieszanki</w:t>
      </w:r>
    </w:p>
    <w:p w14:paraId="5F987068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5.3.1. Dozowanie składników.</w:t>
      </w:r>
    </w:p>
    <w:p w14:paraId="761D4156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a) Dozowanie składników do mieszanki powinno być dokonywane wyłącznie wagowo z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dokładnością:</w:t>
      </w:r>
    </w:p>
    <w:p w14:paraId="5B606E3C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eastAsia="SymbolMT" w:hAnsi="Times New Roman" w:cs="Times New Roman"/>
          <w:color w:val="000000"/>
          <w:sz w:val="18"/>
          <w:szCs w:val="18"/>
        </w:rPr>
        <w:t xml:space="preserve">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2% - przy dozowaniu cementu i wody,</w:t>
      </w:r>
    </w:p>
    <w:p w14:paraId="1D71E684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eastAsia="SymbolMT" w:hAnsi="Times New Roman" w:cs="Times New Roman"/>
          <w:color w:val="000000"/>
          <w:sz w:val="18"/>
          <w:szCs w:val="18"/>
        </w:rPr>
        <w:t xml:space="preserve">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3% - przy dozowaniu kruszywa</w:t>
      </w:r>
    </w:p>
    <w:p w14:paraId="35A50CF4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Dozatory muszą mieć aktualne świadectwo legalizacji. Wagi winny być kontrolowane co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najmniej raz w roku. Urządzenia dozujące wodę i płynne domieszki powinny być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sprawdzane co najmniej raz w miesiącu</w:t>
      </w:r>
    </w:p>
    <w:p w14:paraId="17EEAC8F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b) Przy dozowaniu składników powinno się uwzględniać korektę związaną ze zmiennym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zawilgoceniem kruszywa</w:t>
      </w:r>
    </w:p>
    <w:p w14:paraId="3A5E9B1A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5.3.2. Mieszanie składników.</w:t>
      </w:r>
    </w:p>
    <w:p w14:paraId="5A711447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Mieszanie składników winno się odbywać wyłącznie w betoniarkach o wymuszonym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 xml:space="preserve">działaniu (zabrania się stosowania mieszarek </w:t>
      </w:r>
      <w:proofErr w:type="spellStart"/>
      <w:r w:rsidRPr="00232F53">
        <w:rPr>
          <w:rFonts w:ascii="Times New Roman" w:hAnsi="Times New Roman" w:cs="Times New Roman"/>
          <w:color w:val="000000"/>
          <w:sz w:val="18"/>
          <w:szCs w:val="18"/>
        </w:rPr>
        <w:t>wolnospadowych</w:t>
      </w:r>
      <w:proofErr w:type="spellEnd"/>
      <w:r w:rsidRPr="00232F53">
        <w:rPr>
          <w:rFonts w:ascii="Times New Roman" w:hAnsi="Times New Roman" w:cs="Times New Roman"/>
          <w:color w:val="000000"/>
          <w:sz w:val="18"/>
          <w:szCs w:val="18"/>
        </w:rPr>
        <w:t>). Czas mieszania należy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ustalić doświadczalnie, jednak nie powinien być krótszy niż 2 minuty.</w:t>
      </w:r>
    </w:p>
    <w:p w14:paraId="3F23CDD8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5.3.3. Podawanie i układanie mieszanki.</w:t>
      </w:r>
    </w:p>
    <w:p w14:paraId="5B9CC071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Do podawania mieszanek należy stosować pojemniki o konstrukcji umożliwiającej łatwe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ich opróżnianie lub pompy przystosowane do podawania mieszanek plastycznych, przy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stosowaniu pomp obowiązują odrębne wymagania technologiczne, przy czym wymaga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się sprawdzenia ustalonej konsystencji mieszanki betonowej przy wylocie. Mieszanki nie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należy zrzucać z wysokości większej niż 0,75 m od powierzchni, na którą spada, w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przypadku gdy wysokość ta jest większa, należy mieszankę podawać za pomocą rynny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zsypowej (do wys. 3,0 m) lub leja zsypowego teleskopowego (do wys. 8,0 m)</w:t>
      </w:r>
    </w:p>
    <w:p w14:paraId="278F9B40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5.4. Wymagania przy pracy w nocy.</w:t>
      </w:r>
    </w:p>
    <w:p w14:paraId="4B43A4D1" w14:textId="77777777" w:rsidR="00497DE7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W przypadku, gdy betonowanie konstrukcji Jest wykonywane również w nocy, konieczne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jest wcześniejsze przygotowanie odpowiedniego oświetlenia, zapewniającego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prawidłowe wykonawstwo robót i dostateczne warunki bezpieczeństwa pracy.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</w:p>
    <w:p w14:paraId="7D16B319" w14:textId="77777777" w:rsidR="00497DE7" w:rsidRPr="00497DE7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497DE7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5.5. Warunki atmosferyczne przy układaniu mieszanki z zaprawy cementowej i wiązaniu</w:t>
      </w:r>
      <w:r w:rsidR="00497DE7" w:rsidRPr="00497DE7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497DE7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cementu. </w:t>
      </w:r>
    </w:p>
    <w:p w14:paraId="6AE1C9BB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Betonowanie konstrukcji należy wykonywać wyłącznie w temperaturach nie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niższych niż +5°C. W wyjątkowych przypadkach dopuszcza się betonowanie w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temperaturze do -5°C, jednak wymaga to zgody Inspektora oraz zapewnienia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temperatury mieszanki zaprawowej +20°C w chwili układania i zabezpieczenia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uformowanego elementu przed utratą ciepła w czasie co najmniej 7 dni. Temperatura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mieszanki zaprawowej w chwili opróżniania betoniarki nie powinna być wyższa niż 35°C.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Przy przewidywaniu spadku temperatury poniżej 0oC w okresie twardnienia zaprawy,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należy wcześniej podjąć działania organizacyjne pozwalające na odpowiednie osłonięcie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i podgrzanie zabetonowanej konstrukcji.</w:t>
      </w:r>
    </w:p>
    <w:p w14:paraId="7304EA51" w14:textId="77777777" w:rsidR="00232F53" w:rsidRPr="00497DE7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497DE7">
        <w:rPr>
          <w:rFonts w:ascii="Times New Roman" w:hAnsi="Times New Roman" w:cs="Times New Roman"/>
          <w:b/>
          <w:bCs/>
          <w:color w:val="000000"/>
          <w:sz w:val="18"/>
          <w:szCs w:val="18"/>
        </w:rPr>
        <w:t>5.6. Pielęgnacja zaprawy.</w:t>
      </w:r>
    </w:p>
    <w:p w14:paraId="1E9E081C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 xml:space="preserve">Przy temperaturze otoczenia wyższej niż +5°C należy nie później niż po 12 godz. </w:t>
      </w:r>
      <w:r w:rsidR="00497DE7" w:rsidRPr="00232F53">
        <w:rPr>
          <w:rFonts w:ascii="Times New Roman" w:hAnsi="Times New Roman" w:cs="Times New Roman"/>
          <w:color w:val="000000"/>
          <w:sz w:val="18"/>
          <w:szCs w:val="18"/>
        </w:rPr>
        <w:t>O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d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zakończenia betonowania rozpocząć pielęgnację wilgotnościową zaprawy i prowadzić ją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co najmniej przez 4 dni (przez polewanie co najmniej 3x na dobę),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Przy temperaturze otoczenia +15°C i wyższej, beton należy polewać w ciągu pierwszych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3 dni co 3 godziny i co najmniej 1 raz w nocy, a w następne dni - jak punkt wyżej.</w:t>
      </w:r>
    </w:p>
    <w:p w14:paraId="2FA9D631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Nanoszenie błon nieprzepuszczających wodę jest dopuszczalne tylko wtedy, gdy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zaprawa nie będzie się łączyła z następną warstwą konstrukcji monolitycznej, a także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gdy nie są stawiane wymagania odnośnie jakości pielęgnowanej powierzchni Woda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stosowana do polewania zaprawy powinna spełniać wymagania normy PN-88/B-32250.</w:t>
      </w:r>
    </w:p>
    <w:p w14:paraId="218ADC3C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6.0 KONTROLA JAKOŚCI ROBÓT.</w:t>
      </w:r>
    </w:p>
    <w:p w14:paraId="672FB9BE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Kontrola winna przebiegać zgodnie z zasadami ogólnymi podanymi w ST a sprawdzenie i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odbiór robót winny być wykonane zgodnie z obowiązującymi normami. Sprawdzenie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robót polega na skontrolowaniu ich zgodności z wymaganiami określonymi w niniejszej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Specyfikacji, w Dokumentacji Projektowej i normach.</w:t>
      </w:r>
    </w:p>
    <w:p w14:paraId="2CF5A6F6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7.0 ODBIÓR ROBÓT.</w:t>
      </w:r>
    </w:p>
    <w:p w14:paraId="6712E549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7.1. Zgodność robót z Projektem i Specyfikacją.</w:t>
      </w:r>
    </w:p>
    <w:p w14:paraId="5AF30B04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Roboty winny być wykonane zgodnie z Projektem Technicznym, ST oraz pisemnymi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decyzjami Inspektora.</w:t>
      </w:r>
    </w:p>
    <w:p w14:paraId="38FA8F11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7.2. Odbiór robót zanikających i ulegających zakryciu.</w:t>
      </w:r>
    </w:p>
    <w:p w14:paraId="7F4F4741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7.2.1. Dokumenty i dane.</w:t>
      </w:r>
    </w:p>
    <w:p w14:paraId="1F6D7EC7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Odbiór robót zanikających i ulegających zakryciu przeprowadzić zgodnie z ST. Podstawą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dokonania oceny ilości i jakości robót ulegających zakryciu i zanikających są następujące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dane i dokumenty:</w:t>
      </w:r>
    </w:p>
    <w:p w14:paraId="46A55D01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eastAsia="SymbolMT" w:hAnsi="Times New Roman" w:cs="Times New Roman"/>
          <w:color w:val="000000"/>
          <w:sz w:val="18"/>
          <w:szCs w:val="18"/>
        </w:rPr>
        <w:t xml:space="preserve">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dokumentacja projektowa z naniesionymi na niej zmianami dokonanymi w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trakcie budowy i akceptowanymi przez Inspektora,</w:t>
      </w:r>
    </w:p>
    <w:p w14:paraId="50EDB87E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eastAsia="SymbolMT" w:hAnsi="Times New Roman" w:cs="Times New Roman"/>
          <w:color w:val="000000"/>
          <w:sz w:val="18"/>
          <w:szCs w:val="18"/>
        </w:rPr>
        <w:t xml:space="preserve">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atesty użytych materiałów budowlanych, Dziennik Budowy,</w:t>
      </w:r>
    </w:p>
    <w:p w14:paraId="4ACB9E67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eastAsia="SymbolMT" w:hAnsi="Times New Roman" w:cs="Times New Roman"/>
          <w:color w:val="000000"/>
          <w:sz w:val="18"/>
          <w:szCs w:val="18"/>
        </w:rPr>
        <w:t xml:space="preserve">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uzasadnienie zmian w dokumentacji.</w:t>
      </w:r>
    </w:p>
    <w:p w14:paraId="0088AD17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7.2.2. Zakres.</w:t>
      </w:r>
    </w:p>
    <w:p w14:paraId="1664EC67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Odbiór robót zanikających obejmuje sprawdzenie:</w:t>
      </w:r>
    </w:p>
    <w:p w14:paraId="38CDE2DE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Zgodności użytych zabudowywanych materiałów z ST i Projektem, Prawidłowości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osadzenia elementów podlegających zakryciu.</w:t>
      </w:r>
    </w:p>
    <w:p w14:paraId="4D852D83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7.3. Odbiór końcowy.</w:t>
      </w:r>
    </w:p>
    <w:p w14:paraId="092FC812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Odbiór końcowy robót przeprowadzić zgodnie z ST.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Przy odbiorze końcowym powinny być przedłożone następujące dokumenty:</w:t>
      </w:r>
    </w:p>
    <w:p w14:paraId="091B06FA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- wyniki wszystkich wymaganych pomiarów i badań,</w:t>
      </w:r>
    </w:p>
    <w:p w14:paraId="6CE74D47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- protokoły odbioru robót zanikających i ulegających zakryciu.</w:t>
      </w:r>
    </w:p>
    <w:p w14:paraId="008CA04C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lastRenderedPageBreak/>
        <w:t>8.0 OBMIAR ROBÓT.</w:t>
      </w:r>
    </w:p>
    <w:p w14:paraId="2DEE2EB2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Jak w przedmiarze.</w:t>
      </w:r>
    </w:p>
    <w:p w14:paraId="25822727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9.0 PODSTAWA PŁATNOŚCI</w:t>
      </w:r>
    </w:p>
    <w:p w14:paraId="0D24C2E6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Jak pkt 9 „Warunki Ogólne”</w:t>
      </w:r>
    </w:p>
    <w:p w14:paraId="5655A478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b/>
          <w:bCs/>
          <w:color w:val="000000"/>
          <w:sz w:val="18"/>
          <w:szCs w:val="18"/>
        </w:rPr>
        <w:t>10.0 NORMY I PRZEPISY ZWIĄZANE.</w:t>
      </w:r>
    </w:p>
    <w:p w14:paraId="2E93668D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PN-88/B-06250 Beton zwykły.</w:t>
      </w:r>
    </w:p>
    <w:p w14:paraId="67D1EE03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PN-63/B-06251 Roboty betonowe i żelbetowe. Wymagania techniczne.</w:t>
      </w:r>
    </w:p>
    <w:p w14:paraId="7BA4CB2B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PN-791B-O6711 Kruszywa mineralne. Piasek do betonów i zapraw.</w:t>
      </w:r>
    </w:p>
    <w:p w14:paraId="7C1327E7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PN--861B-O6712 Kruszywa mineralne do betonu</w:t>
      </w:r>
    </w:p>
    <w:p w14:paraId="05EECFB8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PN-78/B-06714 (12,13,15,16,18,34) Kruszywa mineralne. Badania. PN-88/B-32250</w:t>
      </w:r>
    </w:p>
    <w:p w14:paraId="35A370A1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Woda do betonów i zapraw.</w:t>
      </w:r>
    </w:p>
    <w:p w14:paraId="5A249F76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PN-B-19701:1997 Cement powszechnego użytku. Skład wymagania i ocena zgodności.</w:t>
      </w:r>
    </w:p>
    <w:p w14:paraId="4A065CF0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PN-EN 480-1: 1999 Domieszki do betonu, zaprawy j zaczynu. Metody badań. Beton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wzorcowy i zaprawa wzorcowa do badania.</w:t>
      </w:r>
    </w:p>
    <w:p w14:paraId="712852AE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PN-EN 934-6:2002 Domieszki do betonu, zaprawy i zaczynu. Część 6: Pobieranie</w:t>
      </w:r>
      <w:r w:rsidR="00497DE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232F53">
        <w:rPr>
          <w:rFonts w:ascii="Times New Roman" w:hAnsi="Times New Roman" w:cs="Times New Roman"/>
          <w:color w:val="000000"/>
          <w:sz w:val="18"/>
          <w:szCs w:val="18"/>
        </w:rPr>
        <w:t>próbek, kontrola zgodności i ocena zgodności</w:t>
      </w:r>
    </w:p>
    <w:p w14:paraId="32F8C1D7" w14:textId="77777777" w:rsidR="00232F53" w:rsidRPr="00232F53" w:rsidRDefault="00232F53" w:rsidP="00232F53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32F53">
        <w:rPr>
          <w:rFonts w:ascii="Times New Roman" w:hAnsi="Times New Roman" w:cs="Times New Roman"/>
          <w:color w:val="000000"/>
          <w:sz w:val="18"/>
          <w:szCs w:val="18"/>
        </w:rPr>
        <w:t>PN-EN 12620:2004 Kruszywa do betonu.</w:t>
      </w:r>
    </w:p>
    <w:p w14:paraId="0C312CDA" w14:textId="77777777" w:rsidR="00C56E73" w:rsidRPr="00497DE7" w:rsidRDefault="00232F53" w:rsidP="00232F53">
      <w:pPr>
        <w:ind w:left="-567" w:right="-567"/>
        <w:jc w:val="both"/>
        <w:rPr>
          <w:rFonts w:ascii="Times New Roman" w:hAnsi="Times New Roman" w:cs="Times New Roman"/>
          <w:sz w:val="18"/>
          <w:szCs w:val="18"/>
        </w:rPr>
      </w:pPr>
      <w:r w:rsidRPr="00497DE7">
        <w:rPr>
          <w:rFonts w:ascii="Times New Roman" w:hAnsi="Times New Roman" w:cs="Times New Roman"/>
          <w:color w:val="000000"/>
          <w:sz w:val="18"/>
          <w:szCs w:val="18"/>
        </w:rPr>
        <w:t xml:space="preserve">PN-EN 206-1 :2003 Beton. Część 1: Wymagania, właściwości, produkcja </w:t>
      </w:r>
    </w:p>
    <w:p w14:paraId="55924F35" w14:textId="77777777" w:rsidR="00497DE7" w:rsidRPr="00497DE7" w:rsidRDefault="00497DE7">
      <w:pPr>
        <w:ind w:left="-567" w:right="-567"/>
        <w:jc w:val="both"/>
        <w:rPr>
          <w:rFonts w:ascii="Times New Roman" w:hAnsi="Times New Roman" w:cs="Times New Roman"/>
          <w:sz w:val="18"/>
          <w:szCs w:val="18"/>
        </w:rPr>
      </w:pPr>
    </w:p>
    <w:sectPr w:rsidR="00497DE7" w:rsidRPr="00497DE7" w:rsidSect="00DF5CB5">
      <w:footerReference w:type="default" r:id="rId6"/>
      <w:pgSz w:w="11906" w:h="16838"/>
      <w:pgMar w:top="851" w:right="1417" w:bottom="567" w:left="1417" w:header="708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A398E" w14:textId="77777777" w:rsidR="008D2E90" w:rsidRDefault="008D2E90" w:rsidP="00497DE7">
      <w:pPr>
        <w:spacing w:after="0" w:line="240" w:lineRule="auto"/>
      </w:pPr>
      <w:r>
        <w:separator/>
      </w:r>
    </w:p>
  </w:endnote>
  <w:endnote w:type="continuationSeparator" w:id="0">
    <w:p w14:paraId="0E8E5849" w14:textId="77777777" w:rsidR="008D2E90" w:rsidRDefault="008D2E90" w:rsidP="00497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04548"/>
      <w:docPartObj>
        <w:docPartGallery w:val="Page Numbers (Bottom of Page)"/>
        <w:docPartUnique/>
      </w:docPartObj>
    </w:sdtPr>
    <w:sdtEndPr/>
    <w:sdtContent>
      <w:p w14:paraId="207185ED" w14:textId="77777777" w:rsidR="00497DE7" w:rsidRDefault="00497D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2B8D72" w14:textId="77777777" w:rsidR="00497DE7" w:rsidRDefault="00497D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57DF1" w14:textId="77777777" w:rsidR="008D2E90" w:rsidRDefault="008D2E90" w:rsidP="00497DE7">
      <w:pPr>
        <w:spacing w:after="0" w:line="240" w:lineRule="auto"/>
      </w:pPr>
      <w:r>
        <w:separator/>
      </w:r>
    </w:p>
  </w:footnote>
  <w:footnote w:type="continuationSeparator" w:id="0">
    <w:p w14:paraId="2C0771F0" w14:textId="77777777" w:rsidR="008D2E90" w:rsidRDefault="008D2E90" w:rsidP="00497D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F53"/>
    <w:rsid w:val="00232F53"/>
    <w:rsid w:val="002A374B"/>
    <w:rsid w:val="00497DE7"/>
    <w:rsid w:val="005E19E2"/>
    <w:rsid w:val="008D2E90"/>
    <w:rsid w:val="00A65EC0"/>
    <w:rsid w:val="00BC79A6"/>
    <w:rsid w:val="00C56E73"/>
    <w:rsid w:val="00DF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888A2B2"/>
  <w15:chartTrackingRefBased/>
  <w15:docId w15:val="{9FF22CB2-5A6D-4883-B61F-07FEABD8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7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DE7"/>
  </w:style>
  <w:style w:type="paragraph" w:styleId="Stopka">
    <w:name w:val="footer"/>
    <w:basedOn w:val="Normalny"/>
    <w:link w:val="StopkaZnak"/>
    <w:uiPriority w:val="99"/>
    <w:unhideWhenUsed/>
    <w:rsid w:val="00497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1739</Words>
  <Characters>10440</Characters>
  <Application>Microsoft Office Word</Application>
  <DocSecurity>0</DocSecurity>
  <Lines>87</Lines>
  <Paragraphs>24</Paragraphs>
  <ScaleCrop>false</ScaleCrop>
  <Company/>
  <LinksUpToDate>false</LinksUpToDate>
  <CharactersWithSpaces>12155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Kramarczyk-Leśniak</dc:creator>
  <cp:keywords/>
  <dc:description/>
  <cp:lastModifiedBy>Hanna Kramarczyk-Leśniak</cp:lastModifiedBy>
  <cp:revision>3</cp:revision>
  <cp:lastPrinted>2022-06-14T07:47:00Z</cp:lastPrinted>
  <dcterms:created xsi:type="dcterms:W3CDTF">2023-09-13T07:26:00Z</dcterms:created>
  <dcterms:modified xsi:type="dcterms:W3CDTF">2024-03-18T13:53:00Z</dcterms:modified>
</cp:coreProperties>
</file>